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A429" w14:textId="77777777" w:rsidR="00D31586" w:rsidRPr="00347E95" w:rsidRDefault="00D31586" w:rsidP="00D31586">
      <w:pPr>
        <w:bidi/>
        <w:rPr>
          <w:rFonts w:asciiTheme="minorBidi" w:hAnsiTheme="minorBidi"/>
          <w:sz w:val="28"/>
          <w:szCs w:val="28"/>
        </w:rPr>
      </w:pPr>
      <w:r w:rsidRPr="00347E95">
        <w:rPr>
          <w:rFonts w:asciiTheme="minorBidi" w:hAnsiTheme="minorBidi"/>
          <w:sz w:val="28"/>
          <w:szCs w:val="28"/>
          <w:rtl/>
        </w:rPr>
        <w:t xml:space="preserve">بيان صحفي </w:t>
      </w:r>
      <w:r w:rsidRPr="00347E95">
        <w:rPr>
          <w:rFonts w:asciiTheme="minorBidi" w:hAnsiTheme="minorBidi" w:hint="cs"/>
          <w:sz w:val="28"/>
          <w:szCs w:val="28"/>
          <w:rtl/>
          <w:lang w:val="it-IT" w:bidi="ar-EG"/>
        </w:rPr>
        <w:t>رقم</w:t>
      </w:r>
      <w:r w:rsidRPr="00347E95">
        <w:rPr>
          <w:rFonts w:asciiTheme="minorBidi" w:hAnsiTheme="minorBidi"/>
          <w:sz w:val="28"/>
          <w:szCs w:val="28"/>
          <w:rtl/>
        </w:rPr>
        <w:t>. 21/2022</w:t>
      </w:r>
    </w:p>
    <w:p w14:paraId="5F9D9701" w14:textId="77777777" w:rsidR="00D31586" w:rsidRPr="00CA3314" w:rsidRDefault="00D31586" w:rsidP="00D31586">
      <w:pPr>
        <w:bidi/>
        <w:rPr>
          <w:rFonts w:asciiTheme="minorBidi" w:hAnsiTheme="minorBidi"/>
          <w:b/>
          <w:bCs/>
          <w:sz w:val="28"/>
          <w:szCs w:val="28"/>
        </w:rPr>
      </w:pPr>
      <w:r w:rsidRPr="00CA3314">
        <w:rPr>
          <w:rFonts w:asciiTheme="minorBidi" w:hAnsiTheme="minorBidi"/>
          <w:b/>
          <w:bCs/>
          <w:sz w:val="28"/>
          <w:szCs w:val="28"/>
        </w:rPr>
        <w:t xml:space="preserve">       </w:t>
      </w:r>
    </w:p>
    <w:p w14:paraId="3BB6E099" w14:textId="77777777" w:rsidR="00D31586" w:rsidRPr="00CA3314" w:rsidRDefault="00D31586" w:rsidP="00D31586">
      <w:pPr>
        <w:bidi/>
        <w:rPr>
          <w:rFonts w:asciiTheme="minorBidi" w:hAnsiTheme="minorBidi"/>
          <w:b/>
          <w:bCs/>
          <w:sz w:val="28"/>
          <w:szCs w:val="28"/>
        </w:rPr>
      </w:pPr>
      <w:r w:rsidRPr="00CA3314">
        <w:rPr>
          <w:rFonts w:asciiTheme="minorBidi" w:hAnsiTheme="minorBidi"/>
          <w:b/>
          <w:bCs/>
          <w:sz w:val="28"/>
          <w:szCs w:val="28"/>
        </w:rPr>
        <w:t xml:space="preserve">2022 </w:t>
      </w:r>
      <w:proofErr w:type="spellStart"/>
      <w:r w:rsidRPr="00CA3314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  <w:r w:rsidRPr="00CA3314">
        <w:rPr>
          <w:rFonts w:asciiTheme="minorBidi" w:hAnsiTheme="minorBidi"/>
          <w:b/>
          <w:bCs/>
          <w:sz w:val="28"/>
          <w:szCs w:val="28"/>
          <w:rtl/>
        </w:rPr>
        <w:t xml:space="preserve"> ، </w:t>
      </w:r>
      <w:r w:rsidRPr="00CA3314">
        <w:rPr>
          <w:rFonts w:asciiTheme="minorBidi" w:hAnsiTheme="minorBidi" w:hint="cs"/>
          <w:b/>
          <w:bCs/>
          <w:sz w:val="28"/>
          <w:szCs w:val="28"/>
          <w:rtl/>
        </w:rPr>
        <w:t>حدث</w:t>
      </w:r>
      <w:r w:rsidRPr="00CA3314">
        <w:rPr>
          <w:rFonts w:asciiTheme="minorBidi" w:hAnsiTheme="minorBidi"/>
          <w:b/>
          <w:bCs/>
          <w:sz w:val="28"/>
          <w:szCs w:val="28"/>
          <w:rtl/>
        </w:rPr>
        <w:t xml:space="preserve"> عالمي للميكانيكا الزراعية</w:t>
      </w:r>
    </w:p>
    <w:p w14:paraId="71D32240" w14:textId="77777777" w:rsidR="00D31586" w:rsidRPr="00347E95" w:rsidRDefault="00D31586" w:rsidP="00D31586">
      <w:pPr>
        <w:bidi/>
        <w:rPr>
          <w:rFonts w:asciiTheme="minorBidi" w:hAnsiTheme="minorBidi"/>
          <w:b/>
          <w:bCs/>
          <w:i/>
          <w:iCs/>
          <w:sz w:val="28"/>
          <w:szCs w:val="28"/>
          <w:rtl/>
        </w:rPr>
      </w:pPr>
      <w:r w:rsidRPr="00347E95">
        <w:rPr>
          <w:rFonts w:asciiTheme="minorBidi" w:hAnsiTheme="minorBidi"/>
          <w:b/>
          <w:bCs/>
          <w:i/>
          <w:iCs/>
          <w:sz w:val="28"/>
          <w:szCs w:val="28"/>
          <w:rtl/>
        </w:rPr>
        <w:t>العارضون من 40 دولة ، الزوار المتوقعون من 160 دولة ، وفود</w:t>
      </w:r>
      <w:r w:rsidRPr="00347E95">
        <w:rPr>
          <w:rFonts w:asciiTheme="minorBidi" w:hAnsiTheme="minorBidi"/>
          <w:b/>
          <w:bCs/>
          <w:i/>
          <w:iCs/>
          <w:sz w:val="28"/>
          <w:szCs w:val="28"/>
        </w:rPr>
        <w:t xml:space="preserve"> ICE </w:t>
      </w:r>
      <w:r w:rsidRPr="00347E95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الرسمية من 80 دولة ، هذه هي أوراق اعتماد المعرض الدولي للآلات الزراعية المقرر عقده في بولونيا في الفترة من 9 إلى 13 نوفمبر. جناح كامل مخصص لاجتماعات </w:t>
      </w:r>
      <w:r w:rsidRPr="00347E95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“</w:t>
      </w:r>
      <w:r w:rsidRPr="00347E95">
        <w:rPr>
          <w:rFonts w:asciiTheme="minorBidi" w:hAnsiTheme="minorBidi"/>
          <w:b/>
          <w:bCs/>
          <w:i/>
          <w:iCs/>
          <w:sz w:val="28"/>
          <w:szCs w:val="28"/>
        </w:rPr>
        <w:t>business-to-business</w:t>
      </w:r>
      <w:r w:rsidRPr="00347E95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”</w:t>
      </w:r>
      <w:r w:rsidRPr="00347E95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، وبرنامج يتضمن أيام</w:t>
      </w:r>
      <w:r w:rsidRPr="00347E95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 xml:space="preserve"> مخصصة</w:t>
      </w:r>
      <w:r w:rsidRPr="00347E95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وف</w:t>
      </w:r>
      <w:r w:rsidRPr="00347E95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ا</w:t>
      </w:r>
      <w:r w:rsidRPr="00347E95">
        <w:rPr>
          <w:rFonts w:asciiTheme="minorBidi" w:hAnsiTheme="minorBidi"/>
          <w:b/>
          <w:bCs/>
          <w:i/>
          <w:iCs/>
          <w:sz w:val="28"/>
          <w:szCs w:val="28"/>
          <w:rtl/>
        </w:rPr>
        <w:t>ع</w:t>
      </w:r>
      <w:r w:rsidRPr="00347E95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لي</w:t>
      </w:r>
      <w:r w:rsidRPr="00347E95">
        <w:rPr>
          <w:rFonts w:asciiTheme="minorBidi" w:hAnsiTheme="minorBidi"/>
          <w:b/>
          <w:bCs/>
          <w:i/>
          <w:iCs/>
          <w:sz w:val="28"/>
          <w:szCs w:val="28"/>
          <w:rtl/>
        </w:rPr>
        <w:t>ات تعليمية لتسهيل ال</w:t>
      </w:r>
      <w:r w:rsidRPr="00347E95">
        <w:rPr>
          <w:rFonts w:asciiTheme="minorBidi" w:hAnsiTheme="minorBidi" w:hint="cs"/>
          <w:b/>
          <w:bCs/>
          <w:i/>
          <w:iCs/>
          <w:sz w:val="28"/>
          <w:szCs w:val="28"/>
          <w:rtl/>
        </w:rPr>
        <w:t>توفيق</w:t>
      </w:r>
      <w:r w:rsidRPr="00347E95"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بين العرض والطلب على التقنيات لكل نموذج زراعي</w:t>
      </w:r>
      <w:r w:rsidRPr="00347E95">
        <w:rPr>
          <w:rFonts w:asciiTheme="minorBidi" w:hAnsiTheme="minorBidi"/>
          <w:b/>
          <w:bCs/>
          <w:i/>
          <w:iCs/>
          <w:sz w:val="28"/>
          <w:szCs w:val="28"/>
        </w:rPr>
        <w:t>.</w:t>
      </w:r>
    </w:p>
    <w:p w14:paraId="4BD5D4D4" w14:textId="77777777" w:rsidR="00D31586" w:rsidRDefault="00D31586" w:rsidP="00D31586">
      <w:pPr>
        <w:bidi/>
        <w:rPr>
          <w:rFonts w:asciiTheme="minorBidi" w:hAnsiTheme="minorBidi"/>
          <w:sz w:val="28"/>
          <w:szCs w:val="28"/>
          <w:rtl/>
        </w:rPr>
      </w:pPr>
    </w:p>
    <w:p w14:paraId="6552B24A" w14:textId="77777777" w:rsidR="00D31586" w:rsidRPr="00170584" w:rsidRDefault="00D31586" w:rsidP="00D31586">
      <w:pPr>
        <w:bidi/>
        <w:rPr>
          <w:rFonts w:asciiTheme="minorBidi" w:hAnsiTheme="minorBidi" w:cs="Arial"/>
          <w:sz w:val="28"/>
          <w:szCs w:val="28"/>
        </w:rPr>
      </w:pPr>
      <w:r w:rsidRPr="00170584">
        <w:rPr>
          <w:rFonts w:asciiTheme="minorBidi" w:hAnsiTheme="minorBidi" w:cs="Arial"/>
          <w:sz w:val="28"/>
          <w:szCs w:val="28"/>
          <w:rtl/>
        </w:rPr>
        <w:t>يؤكد معرض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proofErr w:type="spellStart"/>
      <w:r w:rsidRPr="00170584">
        <w:rPr>
          <w:rFonts w:asciiTheme="minorBidi" w:hAnsiTheme="minorBidi"/>
          <w:sz w:val="28"/>
          <w:szCs w:val="28"/>
        </w:rPr>
        <w:t>EIMA</w:t>
      </w:r>
      <w:proofErr w:type="spellEnd"/>
      <w:r w:rsidRPr="00170584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لل</w:t>
      </w:r>
      <w:r w:rsidRPr="00170584">
        <w:rPr>
          <w:rFonts w:asciiTheme="minorBidi" w:hAnsiTheme="minorBidi" w:cs="Arial"/>
          <w:sz w:val="28"/>
          <w:szCs w:val="28"/>
          <w:rtl/>
        </w:rPr>
        <w:t>آلات و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170584">
        <w:rPr>
          <w:rFonts w:asciiTheme="minorBidi" w:hAnsiTheme="minorBidi" w:cs="Arial"/>
          <w:sz w:val="28"/>
          <w:szCs w:val="28"/>
          <w:rtl/>
        </w:rPr>
        <w:t>معدات و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مكونات </w:t>
      </w:r>
      <w:r>
        <w:rPr>
          <w:rFonts w:asciiTheme="minorBidi" w:hAnsiTheme="minorBidi" w:cs="Arial" w:hint="cs"/>
          <w:sz w:val="28"/>
          <w:szCs w:val="28"/>
          <w:rtl/>
        </w:rPr>
        <w:t>ا</w:t>
      </w:r>
      <w:r w:rsidRPr="00170584">
        <w:rPr>
          <w:rFonts w:asciiTheme="minorBidi" w:hAnsiTheme="minorBidi" w:cs="Arial"/>
          <w:sz w:val="28"/>
          <w:szCs w:val="28"/>
          <w:rtl/>
        </w:rPr>
        <w:t>لزراع</w:t>
      </w:r>
      <w:r>
        <w:rPr>
          <w:rFonts w:asciiTheme="minorBidi" w:hAnsiTheme="minorBidi" w:cs="Arial" w:hint="cs"/>
          <w:sz w:val="28"/>
          <w:szCs w:val="28"/>
          <w:rtl/>
        </w:rPr>
        <w:t>ي</w:t>
      </w:r>
      <w:r w:rsidRPr="00170584">
        <w:rPr>
          <w:rFonts w:asciiTheme="minorBidi" w:hAnsiTheme="minorBidi" w:cs="Arial"/>
          <w:sz w:val="28"/>
          <w:szCs w:val="28"/>
          <w:rtl/>
        </w:rPr>
        <w:t>ة وال</w:t>
      </w:r>
      <w:r>
        <w:rPr>
          <w:rFonts w:asciiTheme="minorBidi" w:hAnsiTheme="minorBidi" w:cs="Arial" w:hint="cs"/>
          <w:sz w:val="28"/>
          <w:szCs w:val="28"/>
          <w:rtl/>
        </w:rPr>
        <w:t xml:space="preserve">عناية بالمساحات الخضراء 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على </w:t>
      </w:r>
      <w:r>
        <w:rPr>
          <w:rFonts w:asciiTheme="minorBidi" w:hAnsiTheme="minorBidi" w:cs="Arial" w:hint="cs"/>
          <w:sz w:val="28"/>
          <w:szCs w:val="28"/>
          <w:rtl/>
        </w:rPr>
        <w:t>مكانته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الدولية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الذي </w:t>
      </w:r>
      <w:r>
        <w:rPr>
          <w:rFonts w:asciiTheme="minorBidi" w:hAnsiTheme="minorBidi" w:cs="Arial" w:hint="cs"/>
          <w:sz w:val="28"/>
          <w:szCs w:val="28"/>
          <w:rtl/>
        </w:rPr>
        <w:t>سيقام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في بولونيا في الفترة من 9 إلى 13 نوفمبر. هناك 480 </w:t>
      </w:r>
      <w:r>
        <w:rPr>
          <w:rFonts w:asciiTheme="minorBidi" w:hAnsiTheme="minorBidi" w:cs="Arial" w:hint="cs"/>
          <w:sz w:val="28"/>
          <w:szCs w:val="28"/>
          <w:rtl/>
        </w:rPr>
        <w:t>شركة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عارضة أجنبية تمثل حوالي 40 دولة ، ومن المتوقع أن يأتي جمهور الزوار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من 160 دولة (317000 في </w:t>
      </w:r>
      <w:r>
        <w:rPr>
          <w:rFonts w:asciiTheme="minorBidi" w:hAnsiTheme="minorBidi" w:cs="Arial" w:hint="cs"/>
          <w:sz w:val="28"/>
          <w:szCs w:val="28"/>
          <w:rtl/>
        </w:rPr>
        <w:t>نسخة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2018 و 270.400 في </w:t>
      </w:r>
      <w:r>
        <w:rPr>
          <w:rFonts w:asciiTheme="minorBidi" w:hAnsiTheme="minorBidi" w:cs="Arial" w:hint="cs"/>
          <w:sz w:val="28"/>
          <w:szCs w:val="28"/>
          <w:rtl/>
        </w:rPr>
        <w:t>نسخة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2021 ، في ظل قيود حالة الطوارئ الصحية). </w:t>
      </w:r>
      <w:r w:rsidRPr="005E7E07">
        <w:rPr>
          <w:rFonts w:asciiTheme="minorBidi" w:hAnsiTheme="minorBidi" w:cs="Arial"/>
          <w:sz w:val="28"/>
          <w:szCs w:val="28"/>
          <w:rtl/>
        </w:rPr>
        <w:t xml:space="preserve">كما أعلنت خدمة التدويل </w:t>
      </w:r>
      <w:r>
        <w:rPr>
          <w:rFonts w:asciiTheme="minorBidi" w:hAnsiTheme="minorBidi" w:cs="Arial" w:hint="cs"/>
          <w:sz w:val="28"/>
          <w:szCs w:val="28"/>
          <w:rtl/>
        </w:rPr>
        <w:t xml:space="preserve">لمؤسسة  </w:t>
      </w:r>
      <w:r w:rsidRPr="005E7E07">
        <w:rPr>
          <w:rFonts w:asciiTheme="minorBidi" w:hAnsiTheme="minorBidi" w:cs="Arial"/>
          <w:sz w:val="28"/>
          <w:szCs w:val="28"/>
        </w:rPr>
        <w:t>FederUnacoma</w:t>
      </w:r>
      <w:r w:rsidRPr="005E7E07">
        <w:rPr>
          <w:rFonts w:asciiTheme="minorBidi" w:hAnsiTheme="minorBidi" w:cs="Arial"/>
          <w:sz w:val="28"/>
          <w:szCs w:val="28"/>
          <w:rtl/>
        </w:rPr>
        <w:t xml:space="preserve"> اتحاد المصنّعين المنظم المباشر للمعرض عن قائمة الوفود الرسمية التي تنظمها وكالة </w:t>
      </w:r>
      <w:r w:rsidRPr="005E7E07">
        <w:rPr>
          <w:rFonts w:asciiTheme="minorBidi" w:hAnsiTheme="minorBidi" w:cs="Arial"/>
          <w:sz w:val="28"/>
          <w:szCs w:val="28"/>
        </w:rPr>
        <w:t>ICE</w:t>
      </w:r>
      <w:r w:rsidRPr="005E7E07">
        <w:rPr>
          <w:rFonts w:asciiTheme="minorBidi" w:hAnsiTheme="minorBidi" w:cs="Arial"/>
          <w:sz w:val="28"/>
          <w:szCs w:val="28"/>
          <w:rtl/>
        </w:rPr>
        <w:t xml:space="preserve"> بالتعاون مع </w:t>
      </w:r>
      <w:r w:rsidRPr="005E7E07">
        <w:rPr>
          <w:rFonts w:asciiTheme="minorBidi" w:hAnsiTheme="minorBidi" w:cs="Arial"/>
          <w:sz w:val="28"/>
          <w:szCs w:val="28"/>
        </w:rPr>
        <w:t>FederUnacoma</w:t>
      </w:r>
      <w:r w:rsidRPr="005E7E07">
        <w:rPr>
          <w:rFonts w:asciiTheme="minorBidi" w:hAnsiTheme="minorBidi" w:cs="Arial"/>
          <w:sz w:val="28"/>
          <w:szCs w:val="28"/>
          <w:rtl/>
        </w:rPr>
        <w:t xml:space="preserve"> ، والتي تضم 450 </w:t>
      </w:r>
      <w:r>
        <w:rPr>
          <w:rFonts w:asciiTheme="minorBidi" w:hAnsiTheme="minorBidi" w:cs="Arial" w:hint="cs"/>
          <w:sz w:val="28"/>
          <w:szCs w:val="28"/>
          <w:rtl/>
        </w:rPr>
        <w:t>مشغل</w:t>
      </w:r>
      <w:r w:rsidRPr="005E7E07">
        <w:rPr>
          <w:rFonts w:asciiTheme="minorBidi" w:hAnsiTheme="minorBidi" w:cs="Arial"/>
          <w:sz w:val="28"/>
          <w:szCs w:val="28"/>
          <w:rtl/>
        </w:rPr>
        <w:t xml:space="preserve"> اقتصاديًا وصحفيًا أجنبيًا تم اختيارهم من 80 دولة تمثل القارات الخمس.</w:t>
      </w:r>
      <w:r>
        <w:rPr>
          <w:rFonts w:asciiTheme="minorBidi" w:hAnsiTheme="minorBidi" w:cs="Arial" w:hint="cs"/>
          <w:sz w:val="28"/>
          <w:szCs w:val="28"/>
          <w:rtl/>
        </w:rPr>
        <w:t xml:space="preserve"> و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كما في </w:t>
      </w:r>
      <w:r>
        <w:rPr>
          <w:rFonts w:asciiTheme="minorBidi" w:hAnsiTheme="minorBidi" w:cs="Arial" w:hint="cs"/>
          <w:sz w:val="28"/>
          <w:szCs w:val="28"/>
          <w:rtl/>
        </w:rPr>
        <w:t>النسخة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السابق</w:t>
      </w:r>
      <w:r>
        <w:rPr>
          <w:rFonts w:asciiTheme="minorBidi" w:hAnsiTheme="minorBidi" w:cs="Arial" w:hint="cs"/>
          <w:sz w:val="28"/>
          <w:szCs w:val="28"/>
          <w:rtl/>
        </w:rPr>
        <w:t>ة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من </w:t>
      </w:r>
      <w:proofErr w:type="spellStart"/>
      <w:r w:rsidRPr="00170584">
        <w:rPr>
          <w:rFonts w:asciiTheme="minorBidi" w:hAnsiTheme="minorBidi"/>
          <w:sz w:val="28"/>
          <w:szCs w:val="28"/>
        </w:rPr>
        <w:t>EIMA</w:t>
      </w:r>
      <w:proofErr w:type="spellEnd"/>
      <w:r w:rsidRPr="00170584">
        <w:rPr>
          <w:rFonts w:asciiTheme="minorBidi" w:hAnsiTheme="minorBidi" w:cs="Arial"/>
          <w:sz w:val="28"/>
          <w:szCs w:val="28"/>
          <w:rtl/>
        </w:rPr>
        <w:t xml:space="preserve"> ، تم توفير "جناح الوفود الدولية" (3 آلاف متر مربع) ، ويقع داخل مركز المعارض بين </w:t>
      </w:r>
      <w:r w:rsidRPr="004A02BA">
        <w:rPr>
          <w:rFonts w:asciiTheme="minorBidi" w:hAnsiTheme="minorBidi" w:cs="Arial"/>
          <w:sz w:val="28"/>
          <w:szCs w:val="28"/>
          <w:rtl/>
        </w:rPr>
        <w:t xml:space="preserve">جناح </w:t>
      </w:r>
      <w:r>
        <w:rPr>
          <w:rFonts w:asciiTheme="minorBidi" w:hAnsiTheme="minorBidi" w:cs="Arial" w:hint="cs"/>
          <w:sz w:val="28"/>
          <w:szCs w:val="28"/>
          <w:rtl/>
        </w:rPr>
        <w:t xml:space="preserve">19 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ومركز المؤتمرات.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4A02BA">
        <w:rPr>
          <w:rFonts w:asciiTheme="minorBidi" w:hAnsiTheme="minorBidi" w:cs="Arial"/>
          <w:sz w:val="28"/>
          <w:szCs w:val="28"/>
          <w:rtl/>
        </w:rPr>
        <w:t>تستضيف هذه المنطقة</w:t>
      </w:r>
      <w:r>
        <w:rPr>
          <w:rFonts w:asciiTheme="minorBidi" w:hAnsiTheme="minorBidi" w:cs="Arial" w:hint="cs"/>
          <w:sz w:val="28"/>
          <w:szCs w:val="28"/>
          <w:rtl/>
        </w:rPr>
        <w:t xml:space="preserve"> -المجهزة ب</w:t>
      </w:r>
      <w:r w:rsidRPr="004A02BA">
        <w:rPr>
          <w:rFonts w:asciiTheme="minorBidi" w:hAnsiTheme="minorBidi" w:cs="Arial"/>
          <w:sz w:val="28"/>
          <w:szCs w:val="28"/>
          <w:rtl/>
        </w:rPr>
        <w:t>خدمات الت</w:t>
      </w:r>
      <w:r>
        <w:rPr>
          <w:rFonts w:asciiTheme="minorBidi" w:hAnsiTheme="minorBidi" w:cs="Arial" w:hint="cs"/>
          <w:sz w:val="28"/>
          <w:szCs w:val="28"/>
          <w:rtl/>
        </w:rPr>
        <w:t>رجمة و</w:t>
      </w:r>
      <w:r w:rsidRPr="004A02BA">
        <w:rPr>
          <w:rFonts w:asciiTheme="minorBidi" w:hAnsiTheme="minorBidi" w:cs="Arial"/>
          <w:sz w:val="28"/>
          <w:szCs w:val="28"/>
          <w:rtl/>
        </w:rPr>
        <w:t>الاستشارات التعاقدية والمالية والتأمينية ، فضلا عن خدمات الاستقبال</w:t>
      </w:r>
      <w:r>
        <w:rPr>
          <w:rFonts w:asciiTheme="minorBidi" w:hAnsiTheme="minorBidi" w:cs="Arial" w:hint="cs"/>
          <w:sz w:val="28"/>
          <w:szCs w:val="28"/>
          <w:rtl/>
        </w:rPr>
        <w:t>-</w:t>
      </w:r>
      <w:r w:rsidRPr="004A02BA">
        <w:rPr>
          <w:rFonts w:asciiTheme="minorBidi" w:hAnsiTheme="minorBidi" w:cs="Arial"/>
          <w:sz w:val="28"/>
          <w:szCs w:val="28"/>
          <w:rtl/>
        </w:rPr>
        <w:t xml:space="preserve"> جدولًا مزدحمًا بالاجتماعات بين الشركات والمشغلين والشركات الإيطالية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4A02BA">
        <w:rPr>
          <w:rFonts w:asciiTheme="minorBidi" w:hAnsiTheme="minorBidi" w:cs="Arial"/>
          <w:sz w:val="28"/>
          <w:szCs w:val="28"/>
          <w:rtl/>
        </w:rPr>
        <w:t>العارضة ، والتي يتم اختيارها مسبقًا بناءً على الاهتمامات المحددة للمشغلين لأنواع مختلفة من المنتجات</w:t>
      </w:r>
      <w:r>
        <w:rPr>
          <w:rFonts w:asciiTheme="minorBidi" w:hAnsiTheme="minorBidi" w:cs="Arial" w:hint="cs"/>
          <w:sz w:val="28"/>
          <w:szCs w:val="28"/>
          <w:rtl/>
        </w:rPr>
        <w:t xml:space="preserve">. 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تم تحديد ثلاثة أيام 8 و 9 و 10 نوفمبر ، مخصصة على التوالي لبعض الأسواق في أمريكا اللاتينية وكندا وآسيا وأوقيانوسيا وأوروبا.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170584">
        <w:rPr>
          <w:rFonts w:asciiTheme="minorBidi" w:hAnsiTheme="minorBidi" w:cs="Arial"/>
          <w:sz w:val="28"/>
          <w:szCs w:val="28"/>
          <w:rtl/>
        </w:rPr>
        <w:t>بالإضافة إلى اجتماعات ال</w:t>
      </w:r>
      <w:r>
        <w:rPr>
          <w:rFonts w:asciiTheme="minorBidi" w:hAnsiTheme="minorBidi" w:cs="Arial" w:hint="cs"/>
          <w:sz w:val="28"/>
          <w:szCs w:val="28"/>
          <w:rtl/>
        </w:rPr>
        <w:t>أ</w:t>
      </w:r>
      <w:r w:rsidRPr="00170584">
        <w:rPr>
          <w:rFonts w:asciiTheme="minorBidi" w:hAnsiTheme="minorBidi" w:cs="Arial"/>
          <w:sz w:val="28"/>
          <w:szCs w:val="28"/>
          <w:rtl/>
        </w:rPr>
        <w:t>عم</w:t>
      </w:r>
      <w:r>
        <w:rPr>
          <w:rFonts w:asciiTheme="minorBidi" w:hAnsiTheme="minorBidi" w:cs="Arial" w:hint="cs"/>
          <w:sz w:val="28"/>
          <w:szCs w:val="28"/>
          <w:rtl/>
        </w:rPr>
        <w:t>ا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ل يمكن للمشغلين الأجانب الاستفادة من الجولات </w:t>
      </w:r>
      <w:r w:rsidRPr="00CA3314">
        <w:rPr>
          <w:rFonts w:asciiTheme="minorBidi" w:hAnsiTheme="minorBidi" w:cs="Arial"/>
          <w:sz w:val="28"/>
          <w:szCs w:val="28"/>
          <w:rtl/>
        </w:rPr>
        <w:t xml:space="preserve">المعلوماتية </w:t>
      </w:r>
      <w:r w:rsidRPr="00170584">
        <w:rPr>
          <w:rFonts w:asciiTheme="minorBidi" w:hAnsiTheme="minorBidi" w:cs="Arial"/>
          <w:sz w:val="28"/>
          <w:szCs w:val="28"/>
          <w:rtl/>
        </w:rPr>
        <w:t>للتعرف على أخبار المنتجات والمؤتمرات المجدولة لاستكشاف القضايا ذات الأهمية الاستراتيجية لمناطق مختلفة من ال</w:t>
      </w:r>
      <w:r>
        <w:rPr>
          <w:rFonts w:asciiTheme="minorBidi" w:hAnsiTheme="minorBidi" w:cs="Arial" w:hint="cs"/>
          <w:sz w:val="28"/>
          <w:szCs w:val="28"/>
          <w:rtl/>
        </w:rPr>
        <w:t>عالم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، مثل تلك التي تروج لها </w:t>
      </w:r>
      <w:r w:rsidRPr="00170584">
        <w:rPr>
          <w:rFonts w:asciiTheme="minorBidi" w:hAnsiTheme="minorBidi"/>
          <w:sz w:val="28"/>
          <w:szCs w:val="28"/>
        </w:rPr>
        <w:t>FederUnacoma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حول دور التقنيات الجديدة في الاستخدام الرشيد للمياه في مواجهة تغير المناخ وعمليات التصحر. </w:t>
      </w:r>
      <w:r>
        <w:rPr>
          <w:rFonts w:asciiTheme="minorBidi" w:hAnsiTheme="minorBidi" w:cs="Arial" w:hint="cs"/>
          <w:sz w:val="28"/>
          <w:szCs w:val="28"/>
          <w:rtl/>
        </w:rPr>
        <w:t>وفى النهاية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يؤكد منظمو </w:t>
      </w:r>
      <w:r w:rsidRPr="00170584">
        <w:rPr>
          <w:rFonts w:asciiTheme="minorBidi" w:hAnsiTheme="minorBidi"/>
          <w:sz w:val="28"/>
          <w:szCs w:val="28"/>
        </w:rPr>
        <w:t>FederUnacoma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أن معرض </w:t>
      </w:r>
      <w:r>
        <w:rPr>
          <w:rFonts w:asciiTheme="minorBidi" w:hAnsiTheme="minorBidi" w:hint="cs"/>
          <w:sz w:val="28"/>
          <w:szCs w:val="28"/>
          <w:rtl/>
        </w:rPr>
        <w:t>بولونيا</w:t>
      </w:r>
      <w:r w:rsidRPr="00170584">
        <w:rPr>
          <w:rFonts w:asciiTheme="minorBidi" w:hAnsiTheme="minorBidi" w:cs="Arial"/>
          <w:sz w:val="28"/>
          <w:szCs w:val="28"/>
          <w:rtl/>
        </w:rPr>
        <w:t xml:space="preserve"> قد أثبت نفسه على مر السنين كمكان ليس فقط للأنشطة التجارية المتعلقة بقطاع الميكانيكا الزراعية ، ولكن أيضًا لنشر المعرفة حول الابتكارات التكنولوجية الأنسب للنماذج المختلفة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170584">
        <w:rPr>
          <w:rFonts w:asciiTheme="minorBidi" w:hAnsiTheme="minorBidi" w:cs="Arial"/>
          <w:sz w:val="28"/>
          <w:szCs w:val="28"/>
          <w:rtl/>
        </w:rPr>
        <w:t>للزراعة ، في سياقات بيئية مختلفة.</w:t>
      </w:r>
    </w:p>
    <w:p w14:paraId="308EA297" w14:textId="77777777" w:rsidR="00D31586" w:rsidRPr="00170584" w:rsidRDefault="00D31586" w:rsidP="00D31586">
      <w:pPr>
        <w:bidi/>
        <w:rPr>
          <w:rFonts w:asciiTheme="minorBidi" w:hAnsiTheme="minorBidi"/>
          <w:sz w:val="28"/>
          <w:szCs w:val="28"/>
        </w:rPr>
      </w:pPr>
    </w:p>
    <w:p w14:paraId="6B004F4C" w14:textId="77777777" w:rsidR="00D31586" w:rsidRPr="00347E95" w:rsidRDefault="00D31586" w:rsidP="00D31586">
      <w:pPr>
        <w:bidi/>
        <w:rPr>
          <w:rFonts w:asciiTheme="minorBidi" w:hAnsiTheme="minorBidi"/>
          <w:b/>
          <w:bCs/>
          <w:sz w:val="28"/>
          <w:szCs w:val="28"/>
        </w:rPr>
      </w:pPr>
      <w:r w:rsidRPr="00170584">
        <w:rPr>
          <w:rFonts w:asciiTheme="minorBidi" w:hAnsiTheme="minorBidi" w:cs="Arial"/>
          <w:sz w:val="28"/>
          <w:szCs w:val="28"/>
          <w:rtl/>
        </w:rPr>
        <w:t xml:space="preserve">  </w:t>
      </w:r>
      <w:r w:rsidRPr="00347E95">
        <w:rPr>
          <w:rFonts w:asciiTheme="minorBidi" w:hAnsiTheme="minorBidi" w:cs="Arial"/>
          <w:b/>
          <w:bCs/>
          <w:sz w:val="28"/>
          <w:szCs w:val="28"/>
          <w:rtl/>
        </w:rPr>
        <w:t>روما ، 29 أكتوبر 2022</w:t>
      </w: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5194" w14:textId="77777777" w:rsidR="000B6A57" w:rsidRDefault="000B6A57">
      <w:r>
        <w:separator/>
      </w:r>
    </w:p>
  </w:endnote>
  <w:endnote w:type="continuationSeparator" w:id="0">
    <w:p w14:paraId="2A742FDE" w14:textId="77777777" w:rsidR="000B6A57" w:rsidRDefault="000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83D90" w14:textId="77777777" w:rsidR="000B6A57" w:rsidRDefault="000B6A57">
      <w:r>
        <w:separator/>
      </w:r>
    </w:p>
  </w:footnote>
  <w:footnote w:type="continuationSeparator" w:id="0">
    <w:p w14:paraId="1BC59582" w14:textId="77777777" w:rsidR="000B6A57" w:rsidRDefault="000B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2022-10-30T17:05:00Z</dcterms:created>
  <dcterms:modified xsi:type="dcterms:W3CDTF">2022-10-30T17:05:00Z</dcterms:modified>
</cp:coreProperties>
</file>